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993" w:rsidRDefault="00D74993" w:rsidP="00D74993">
      <w:pPr>
        <w:rPr>
          <w:i/>
        </w:rPr>
      </w:pPr>
      <w:r>
        <w:t xml:space="preserve">Baker, C. Edwin.  </w:t>
      </w:r>
      <w:proofErr w:type="gramStart"/>
      <w:r>
        <w:t>“Different Democracies and Their Media.”</w:t>
      </w:r>
      <w:proofErr w:type="gramEnd"/>
      <w:r>
        <w:t xml:space="preserve"> Chap. in </w:t>
      </w:r>
      <w:r>
        <w:rPr>
          <w:i/>
        </w:rPr>
        <w:t xml:space="preserve">Media, Markets, </w:t>
      </w:r>
      <w:r w:rsidRPr="00C82149">
        <w:rPr>
          <w:i/>
        </w:rPr>
        <w:t xml:space="preserve">and </w:t>
      </w:r>
    </w:p>
    <w:p w:rsidR="00D74993" w:rsidRDefault="00D74993" w:rsidP="00D74993">
      <w:pPr>
        <w:ind w:firstLine="720"/>
      </w:pPr>
      <w:proofErr w:type="gramStart"/>
      <w:r w:rsidRPr="00C82149">
        <w:rPr>
          <w:i/>
        </w:rPr>
        <w:t>Democracy</w:t>
      </w:r>
      <w:r>
        <w:t>.</w:t>
      </w:r>
      <w:proofErr w:type="gramEnd"/>
      <w:r>
        <w:t xml:space="preserve">  New York: Cambridge University Press (2002): pp. 129-153.</w:t>
      </w:r>
    </w:p>
    <w:p w:rsidR="00D74993" w:rsidRDefault="00D74993" w:rsidP="00D74993">
      <w:proofErr w:type="gramStart"/>
      <w:r>
        <w:t>Bellah, Robert, Richard Madsen, William M. Sullivan, Ann Swidler, and Steven M.</w:t>
      </w:r>
      <w:proofErr w:type="gramEnd"/>
    </w:p>
    <w:p w:rsidR="00D74993" w:rsidRDefault="00D74993" w:rsidP="00D74993">
      <w:pPr>
        <w:ind w:left="720"/>
      </w:pPr>
      <w:proofErr w:type="gramStart"/>
      <w:r>
        <w:t>Tipton.</w:t>
      </w:r>
      <w:proofErr w:type="gramEnd"/>
      <w:r>
        <w:t xml:space="preserve">  “We Live Through Institutions,” chap. in </w:t>
      </w:r>
      <w:proofErr w:type="gramStart"/>
      <w:r w:rsidRPr="001C68AB">
        <w:rPr>
          <w:i/>
        </w:rPr>
        <w:t>The</w:t>
      </w:r>
      <w:proofErr w:type="gramEnd"/>
      <w:r w:rsidRPr="001C68AB">
        <w:rPr>
          <w:i/>
        </w:rPr>
        <w:t xml:space="preserve"> Good Society</w:t>
      </w:r>
      <w:r>
        <w:t>.  New York: Alfred A. Knopf (1992): pp. 3-18.</w:t>
      </w:r>
    </w:p>
    <w:p w:rsidR="00D74993" w:rsidRDefault="00D74993" w:rsidP="00D74993">
      <w:r>
        <w:t>Boorstin, Daniel J.  “A History of the Image: From Pseudo-Event to Virtual Reality,”</w:t>
      </w:r>
    </w:p>
    <w:p w:rsidR="00D74993" w:rsidRDefault="00D74993" w:rsidP="00D74993">
      <w:pPr>
        <w:ind w:firstLine="720"/>
      </w:pPr>
      <w:r w:rsidRPr="004E2BAA">
        <w:rPr>
          <w:i/>
        </w:rPr>
        <w:t>New Perspectives Quarterly</w:t>
      </w:r>
      <w:r>
        <w:t>, 11 (Summer 1994): 16-21.</w:t>
      </w:r>
    </w:p>
    <w:p w:rsidR="00D74993" w:rsidRDefault="00D74993" w:rsidP="00D74993">
      <w:r>
        <w:t>Bowman, Patricia.  “A personal account: Media treatment evolved into an assault in</w:t>
      </w:r>
    </w:p>
    <w:p w:rsidR="00D74993" w:rsidRDefault="00D74993" w:rsidP="00D74993">
      <w:pPr>
        <w:ind w:left="720"/>
      </w:pPr>
      <w:proofErr w:type="gramStart"/>
      <w:r>
        <w:t>itself</w:t>
      </w:r>
      <w:proofErr w:type="gramEnd"/>
      <w:r>
        <w:t xml:space="preserve">,” </w:t>
      </w:r>
      <w:r w:rsidRPr="003755C7">
        <w:rPr>
          <w:i/>
        </w:rPr>
        <w:t>Newspaper Coverage of Rape: Dilemmas on deadline</w:t>
      </w:r>
      <w:r>
        <w:t>, Fort Worth, Texas: Texas Christian University (1994): 28-31.</w:t>
      </w:r>
    </w:p>
    <w:p w:rsidR="00D74993" w:rsidRDefault="00D74993" w:rsidP="00D74993">
      <w:pPr>
        <w:rPr>
          <w:i/>
        </w:rPr>
      </w:pPr>
      <w:r>
        <w:t xml:space="preserve">Christians, Clifford G., et al., “Ethical Foundations and Perspectives,” chap. in </w:t>
      </w:r>
      <w:r w:rsidRPr="00C82ECA">
        <w:rPr>
          <w:i/>
        </w:rPr>
        <w:t>Media</w:t>
      </w:r>
    </w:p>
    <w:p w:rsidR="00D74993" w:rsidRDefault="00D74993" w:rsidP="00D74993">
      <w:pPr>
        <w:ind w:firstLine="720"/>
      </w:pPr>
      <w:r w:rsidRPr="00C82ECA">
        <w:rPr>
          <w:i/>
        </w:rPr>
        <w:t>Ethics: Cases and Moral Reasoning</w:t>
      </w:r>
      <w:r>
        <w:t>, 8</w:t>
      </w:r>
      <w:r w:rsidRPr="00C82ECA">
        <w:rPr>
          <w:vertAlign w:val="superscript"/>
        </w:rPr>
        <w:t>th</w:t>
      </w:r>
      <w:r>
        <w:t xml:space="preserve"> ed., Boston: Pearson (2009): 1-33.</w:t>
      </w:r>
    </w:p>
    <w:p w:rsidR="00D74993" w:rsidRDefault="00D74993" w:rsidP="00D74993">
      <w:r>
        <w:t xml:space="preserve">Epstein, Edward Jay.  “Have You Ever Tried to Sell a Diamond?” </w:t>
      </w:r>
      <w:r w:rsidRPr="00C82ECA">
        <w:rPr>
          <w:i/>
        </w:rPr>
        <w:t>Atlantic Monthly</w:t>
      </w:r>
    </w:p>
    <w:p w:rsidR="00D74993" w:rsidRDefault="00D74993" w:rsidP="00D74993">
      <w:pPr>
        <w:ind w:firstLine="720"/>
      </w:pPr>
      <w:r>
        <w:t>(February 1982): 371-382.</w:t>
      </w:r>
    </w:p>
    <w:p w:rsidR="00D74993" w:rsidRDefault="00D74993" w:rsidP="00D74993">
      <w:r>
        <w:t xml:space="preserve">Ewen, Stuart.  “Coda,” chap. in </w:t>
      </w:r>
      <w:r>
        <w:rPr>
          <w:i/>
        </w:rPr>
        <w:t>PR! A Social History of Sp</w:t>
      </w:r>
      <w:r w:rsidRPr="004E2BAA">
        <w:rPr>
          <w:i/>
        </w:rPr>
        <w:t>in</w:t>
      </w:r>
      <w:r>
        <w:t>, New York: Basic Books</w:t>
      </w:r>
    </w:p>
    <w:p w:rsidR="00D74993" w:rsidRDefault="00D74993" w:rsidP="00D74993">
      <w:pPr>
        <w:ind w:firstLine="720"/>
      </w:pPr>
      <w:r>
        <w:t>(1996): 399-414.</w:t>
      </w:r>
    </w:p>
    <w:p w:rsidR="00D74993" w:rsidRDefault="00D74993" w:rsidP="00D74993">
      <w:pPr>
        <w:rPr>
          <w:i/>
        </w:rPr>
      </w:pPr>
      <w:r>
        <w:t xml:space="preserve">Ewen, Stuart.  “Consumption and Seduction,” chap. in </w:t>
      </w:r>
      <w:r w:rsidRPr="00C82ECA">
        <w:rPr>
          <w:i/>
        </w:rPr>
        <w:t xml:space="preserve">Captains of Consciousness: </w:t>
      </w:r>
    </w:p>
    <w:p w:rsidR="00D74993" w:rsidRDefault="00D74993" w:rsidP="00D74993">
      <w:pPr>
        <w:ind w:left="720"/>
      </w:pPr>
      <w:r w:rsidRPr="00C82ECA">
        <w:rPr>
          <w:i/>
        </w:rPr>
        <w:t>Advertising and the Social Roots of the Consumer Culture</w:t>
      </w:r>
      <w:r>
        <w:t>, New York: McGraw-Hill (1976): 177-184.</w:t>
      </w:r>
    </w:p>
    <w:p w:rsidR="00D74993" w:rsidRDefault="00D74993" w:rsidP="00D74993">
      <w:proofErr w:type="gramStart"/>
      <w:r>
        <w:t>Gardner, Howard, Mihaly Csikszentmihalyi, and William Damon.</w:t>
      </w:r>
      <w:proofErr w:type="gramEnd"/>
      <w:r>
        <w:t xml:space="preserve">  “The Conditions of Good </w:t>
      </w:r>
    </w:p>
    <w:p w:rsidR="00D74993" w:rsidRDefault="00D74993" w:rsidP="00D74993">
      <w:pPr>
        <w:ind w:left="720"/>
      </w:pPr>
      <w:proofErr w:type="gramStart"/>
      <w:r>
        <w:t>Work.”</w:t>
      </w:r>
      <w:proofErr w:type="gramEnd"/>
      <w:r>
        <w:t xml:space="preserve"> Chap. in </w:t>
      </w:r>
      <w:r w:rsidRPr="00C82149">
        <w:rPr>
          <w:i/>
        </w:rPr>
        <w:t>Good Work: When Excellence and Ethics Meet</w:t>
      </w:r>
      <w:r>
        <w:t xml:space="preserve">.  New </w:t>
      </w:r>
      <w:r>
        <w:tab/>
        <w:t>York: Basic Books (2001): pp. 15-36.</w:t>
      </w:r>
    </w:p>
    <w:p w:rsidR="00D74993" w:rsidRDefault="00D74993" w:rsidP="00D74993">
      <w:r>
        <w:t xml:space="preserve">Mooallem, Jon.  </w:t>
      </w:r>
      <w:proofErr w:type="gramStart"/>
      <w:r>
        <w:t xml:space="preserve">“Schlock and Awwww,” </w:t>
      </w:r>
      <w:r w:rsidRPr="00C82ECA">
        <w:rPr>
          <w:i/>
        </w:rPr>
        <w:t>Mother Jones</w:t>
      </w:r>
      <w:r>
        <w:t>, November/December 2007, pp.</w:t>
      </w:r>
      <w:proofErr w:type="gramEnd"/>
    </w:p>
    <w:p w:rsidR="00D74993" w:rsidRDefault="00D74993" w:rsidP="00D74993">
      <w:pPr>
        <w:ind w:firstLine="720"/>
      </w:pPr>
      <w:proofErr w:type="gramStart"/>
      <w:r>
        <w:t>79-81.</w:t>
      </w:r>
      <w:proofErr w:type="gramEnd"/>
    </w:p>
    <w:p w:rsidR="00D74993" w:rsidRDefault="00D74993" w:rsidP="00D74993">
      <w:r>
        <w:t xml:space="preserve">Romano, Carlin.  “The Grisly Truth about Bare Facts,” chap. in </w:t>
      </w:r>
      <w:r w:rsidRPr="007E160E">
        <w:rPr>
          <w:i/>
        </w:rPr>
        <w:t>Reading The News</w:t>
      </w:r>
      <w:r>
        <w:t xml:space="preserve">, </w:t>
      </w:r>
      <w:proofErr w:type="gramStart"/>
      <w:r>
        <w:t>eds</w:t>
      </w:r>
      <w:proofErr w:type="gramEnd"/>
      <w:r>
        <w:t>.</w:t>
      </w:r>
    </w:p>
    <w:p w:rsidR="00D74993" w:rsidRDefault="00D74993" w:rsidP="00D74993">
      <w:pPr>
        <w:ind w:firstLine="720"/>
      </w:pPr>
      <w:r>
        <w:t>Robert Karl Manoff and Michael Schudson, New York: Pantheon (1986): 38-78.</w:t>
      </w:r>
    </w:p>
    <w:p w:rsidR="00D74993" w:rsidRDefault="00D74993" w:rsidP="00D74993">
      <w:r>
        <w:t>Wasserman, Edward.  “The insidious corruption of beats,” available at</w:t>
      </w:r>
    </w:p>
    <w:p w:rsidR="00D74993" w:rsidRDefault="00D74993" w:rsidP="00D74993">
      <w:pPr>
        <w:ind w:left="720"/>
      </w:pPr>
      <w:hyperlink r:id="rId4" w:history="1">
        <w:r w:rsidRPr="00F2649F">
          <w:rPr>
            <w:rStyle w:val="Hyperlink"/>
          </w:rPr>
          <w:t>http://ewasserman.com/2007/01/08/the-insidious-corruption-of-beats/</w:t>
        </w:r>
      </w:hyperlink>
      <w:r>
        <w:t xml:space="preserve"> (last visited June 23, 2011).</w:t>
      </w:r>
    </w:p>
    <w:p w:rsidR="00D74993" w:rsidRDefault="00D74993" w:rsidP="00D74993"/>
    <w:p w:rsidR="00D74993" w:rsidRDefault="00D74993" w:rsidP="00D74993">
      <w:pPr>
        <w:pStyle w:val="Default"/>
        <w:rPr>
          <w:sz w:val="18"/>
          <w:szCs w:val="18"/>
        </w:rPr>
      </w:pPr>
      <w:proofErr w:type="gramStart"/>
      <w:r>
        <w:rPr>
          <w:b/>
          <w:bCs/>
          <w:i/>
          <w:iCs/>
          <w:sz w:val="22"/>
          <w:szCs w:val="22"/>
        </w:rPr>
        <w:t>P</w:t>
      </w:r>
      <w:r>
        <w:rPr>
          <w:b/>
          <w:bCs/>
          <w:i/>
          <w:iCs/>
          <w:sz w:val="18"/>
          <w:szCs w:val="18"/>
        </w:rPr>
        <w:t xml:space="preserve">ART </w:t>
      </w:r>
      <w:r>
        <w:rPr>
          <w:b/>
          <w:bCs/>
          <w:i/>
          <w:iCs/>
          <w:sz w:val="22"/>
          <w:szCs w:val="22"/>
        </w:rPr>
        <w:t>III.</w:t>
      </w:r>
      <w:proofErr w:type="gramEnd"/>
      <w:r>
        <w:rPr>
          <w:b/>
          <w:bCs/>
          <w:i/>
          <w:iCs/>
          <w:sz w:val="22"/>
          <w:szCs w:val="22"/>
        </w:rPr>
        <w:t xml:space="preserve"> C</w:t>
      </w:r>
      <w:r>
        <w:rPr>
          <w:b/>
          <w:bCs/>
          <w:i/>
          <w:iCs/>
          <w:sz w:val="18"/>
          <w:szCs w:val="18"/>
        </w:rPr>
        <w:t xml:space="preserve">ONTEMPORARY </w:t>
      </w:r>
      <w:r>
        <w:rPr>
          <w:b/>
          <w:bCs/>
          <w:i/>
          <w:iCs/>
          <w:sz w:val="22"/>
          <w:szCs w:val="22"/>
        </w:rPr>
        <w:t>I</w:t>
      </w:r>
      <w:r>
        <w:rPr>
          <w:b/>
          <w:bCs/>
          <w:i/>
          <w:iCs/>
          <w:sz w:val="18"/>
          <w:szCs w:val="18"/>
        </w:rPr>
        <w:t xml:space="preserve">SSUES AND </w:t>
      </w:r>
      <w:r>
        <w:rPr>
          <w:b/>
          <w:bCs/>
          <w:i/>
          <w:iCs/>
          <w:sz w:val="22"/>
          <w:szCs w:val="22"/>
        </w:rPr>
        <w:t>C</w:t>
      </w:r>
      <w:r>
        <w:rPr>
          <w:b/>
          <w:bCs/>
          <w:i/>
          <w:iCs/>
          <w:sz w:val="18"/>
          <w:szCs w:val="18"/>
        </w:rPr>
        <w:t xml:space="preserve">HALLENGES FOR THE </w:t>
      </w:r>
      <w:r>
        <w:rPr>
          <w:b/>
          <w:bCs/>
          <w:i/>
          <w:iCs/>
          <w:sz w:val="22"/>
          <w:szCs w:val="22"/>
        </w:rPr>
        <w:t>P</w:t>
      </w:r>
      <w:r>
        <w:rPr>
          <w:b/>
          <w:bCs/>
          <w:i/>
          <w:iCs/>
          <w:sz w:val="18"/>
          <w:szCs w:val="18"/>
        </w:rPr>
        <w:t xml:space="preserve">REVAILING </w:t>
      </w:r>
      <w:r>
        <w:rPr>
          <w:b/>
          <w:bCs/>
          <w:i/>
          <w:iCs/>
          <w:sz w:val="22"/>
          <w:szCs w:val="22"/>
        </w:rPr>
        <w:t>P</w:t>
      </w:r>
      <w:r>
        <w:rPr>
          <w:b/>
          <w:bCs/>
          <w:i/>
          <w:iCs/>
          <w:sz w:val="18"/>
          <w:szCs w:val="18"/>
        </w:rPr>
        <w:t xml:space="preserve">ARADIGM </w:t>
      </w:r>
    </w:p>
    <w:p w:rsidR="00D74993" w:rsidRDefault="00D74993" w:rsidP="00D74993">
      <w:pPr>
        <w:pStyle w:val="Default"/>
        <w:rPr>
          <w:sz w:val="22"/>
          <w:szCs w:val="22"/>
        </w:rPr>
      </w:pPr>
      <w:proofErr w:type="gramStart"/>
      <w:r>
        <w:rPr>
          <w:b/>
          <w:bCs/>
          <w:i/>
          <w:iCs/>
          <w:sz w:val="22"/>
          <w:szCs w:val="22"/>
        </w:rPr>
        <w:t>W</w:t>
      </w:r>
      <w:r>
        <w:rPr>
          <w:b/>
          <w:bCs/>
          <w:i/>
          <w:iCs/>
          <w:sz w:val="18"/>
          <w:szCs w:val="18"/>
        </w:rPr>
        <w:t xml:space="preserve">EEK </w:t>
      </w:r>
      <w:r>
        <w:rPr>
          <w:b/>
          <w:bCs/>
          <w:i/>
          <w:iCs/>
          <w:sz w:val="22"/>
          <w:szCs w:val="22"/>
        </w:rPr>
        <w:t>7.</w:t>
      </w:r>
      <w:proofErr w:type="gramEnd"/>
      <w:r>
        <w:rPr>
          <w:b/>
          <w:bCs/>
          <w:i/>
          <w:iCs/>
          <w:sz w:val="22"/>
          <w:szCs w:val="22"/>
        </w:rPr>
        <w:t xml:space="preserve"> The IPE of Natural Resources: Dependency and Resource Curse </w:t>
      </w:r>
    </w:p>
    <w:p w:rsidR="00D74993" w:rsidRDefault="00D74993" w:rsidP="00D74993">
      <w:pPr>
        <w:pStyle w:val="Default"/>
        <w:rPr>
          <w:sz w:val="22"/>
          <w:szCs w:val="22"/>
        </w:rPr>
      </w:pPr>
      <w:r>
        <w:rPr>
          <w:i/>
          <w:iCs/>
          <w:sz w:val="22"/>
          <w:szCs w:val="22"/>
        </w:rPr>
        <w:t xml:space="preserve">We are in part to blame, but this is the curse of being born with a copper spoon in our mouths. ~ Kenneth Kaunda, one time President of Zambia </w:t>
      </w:r>
    </w:p>
    <w:p w:rsidR="00D74993" w:rsidRDefault="00D74993" w:rsidP="00D74993">
      <w:pPr>
        <w:pStyle w:val="Default"/>
        <w:rPr>
          <w:sz w:val="22"/>
          <w:szCs w:val="22"/>
        </w:rPr>
      </w:pPr>
      <w:r>
        <w:rPr>
          <w:sz w:val="22"/>
          <w:szCs w:val="22"/>
        </w:rPr>
        <w:t xml:space="preserve">A number of scholars argue that the possession of oil or other lucrative resources can actually be a disadvantage for developing economies by thwarting the emergence of democratic institutions and contributing to an unequal distribution of wealth. Frank opens with a classic piece on dependency followed by Karl’s contemporary work on the impact of oil and Ross’s neoclassical analysis of the “resource curse.” These arguments are challenged by the institutions perspective, which holds that the character of governing institutions stands apart from the issue of material resources. </w:t>
      </w:r>
    </w:p>
    <w:p w:rsidR="00D74993" w:rsidRDefault="00D74993" w:rsidP="00D74993">
      <w:pPr>
        <w:pStyle w:val="Default"/>
        <w:rPr>
          <w:sz w:val="22"/>
          <w:szCs w:val="22"/>
        </w:rPr>
      </w:pPr>
      <w:r>
        <w:rPr>
          <w:sz w:val="22"/>
          <w:szCs w:val="22"/>
        </w:rPr>
        <w:t xml:space="preserve">Andre Gunder Frank, Development and Underdevelopment in the New World, Theory and Society, winter 1975 (JSTOR) </w:t>
      </w:r>
    </w:p>
    <w:p w:rsidR="00D74993" w:rsidRDefault="00D74993" w:rsidP="00D74993">
      <w:pPr>
        <w:pStyle w:val="Default"/>
        <w:rPr>
          <w:sz w:val="22"/>
          <w:szCs w:val="22"/>
        </w:rPr>
      </w:pPr>
      <w:r>
        <w:rPr>
          <w:sz w:val="22"/>
          <w:szCs w:val="22"/>
        </w:rPr>
        <w:t xml:space="preserve">Deepak Nayyar, “Globalisation, History and Development: A Tale of Two Centuries,” </w:t>
      </w:r>
      <w:r>
        <w:rPr>
          <w:i/>
          <w:iCs/>
          <w:sz w:val="22"/>
          <w:szCs w:val="22"/>
        </w:rPr>
        <w:t xml:space="preserve">Cambridge Journal of Economics </w:t>
      </w:r>
      <w:r>
        <w:rPr>
          <w:sz w:val="22"/>
          <w:szCs w:val="22"/>
        </w:rPr>
        <w:t>2006 (http://lmps.gofor.de/Globalisation</w:t>
      </w:r>
      <w:proofErr w:type="gramStart"/>
      <w:r>
        <w:rPr>
          <w:sz w:val="22"/>
          <w:szCs w:val="22"/>
        </w:rPr>
        <w:t>,%</w:t>
      </w:r>
      <w:proofErr w:type="gramEnd"/>
      <w:r>
        <w:rPr>
          <w:sz w:val="22"/>
          <w:szCs w:val="22"/>
        </w:rPr>
        <w:t xml:space="preserve">20history%20and%20development.pdf) </w:t>
      </w:r>
    </w:p>
    <w:p w:rsidR="00D74993" w:rsidRDefault="00D74993" w:rsidP="00D74993">
      <w:pPr>
        <w:pStyle w:val="Default"/>
        <w:rPr>
          <w:sz w:val="22"/>
          <w:szCs w:val="22"/>
        </w:rPr>
      </w:pPr>
      <w:r>
        <w:rPr>
          <w:sz w:val="22"/>
          <w:szCs w:val="22"/>
        </w:rPr>
        <w:t xml:space="preserve">Terry Lynn Karl, “The Perils of the Petro-State: Reflections on the Paradox of Plenty”, </w:t>
      </w:r>
      <w:r>
        <w:rPr>
          <w:i/>
          <w:iCs/>
          <w:sz w:val="22"/>
          <w:szCs w:val="22"/>
        </w:rPr>
        <w:t>Journal of International Affairs</w:t>
      </w:r>
      <w:r>
        <w:rPr>
          <w:sz w:val="22"/>
          <w:szCs w:val="22"/>
        </w:rPr>
        <w:t xml:space="preserve">, 1999:31-48 (e-reserve) </w:t>
      </w:r>
      <w:r>
        <w:rPr>
          <w:sz w:val="22"/>
          <w:szCs w:val="22"/>
        </w:rPr>
        <w:br/>
      </w:r>
    </w:p>
    <w:p w:rsidR="00D74993" w:rsidRDefault="00D74993" w:rsidP="00D74993">
      <w:pPr>
        <w:pStyle w:val="Default"/>
        <w:rPr>
          <w:sz w:val="22"/>
          <w:szCs w:val="22"/>
        </w:rPr>
      </w:pPr>
    </w:p>
    <w:p w:rsidR="00D74993" w:rsidRDefault="00D74993" w:rsidP="00D74993">
      <w:pPr>
        <w:pStyle w:val="Default"/>
        <w:rPr>
          <w:sz w:val="22"/>
          <w:szCs w:val="22"/>
        </w:rPr>
      </w:pPr>
      <w:r>
        <w:rPr>
          <w:sz w:val="22"/>
          <w:szCs w:val="22"/>
        </w:rPr>
        <w:t xml:space="preserve">Michael Ross, “The Natural Resource Curse: How Wealth Can Make You Poor,” (Ch 2) in </w:t>
      </w:r>
      <w:r>
        <w:rPr>
          <w:i/>
          <w:iCs/>
          <w:sz w:val="22"/>
          <w:szCs w:val="22"/>
        </w:rPr>
        <w:t xml:space="preserve">Natural Resources and Violent Conflict </w:t>
      </w:r>
      <w:r>
        <w:rPr>
          <w:sz w:val="22"/>
          <w:szCs w:val="22"/>
        </w:rPr>
        <w:t xml:space="preserve">http://www-wds.worldbank.org/servlet/WDSContentServer/WDSP/IB/2004/05/24/000012009_20040524154222/Rendered/PDF/282450Natural0resources0violent0conflict.pdf </w:t>
      </w:r>
    </w:p>
    <w:p w:rsidR="00D74993" w:rsidRDefault="00D74993" w:rsidP="00D74993">
      <w:pPr>
        <w:pStyle w:val="Default"/>
        <w:rPr>
          <w:sz w:val="22"/>
          <w:szCs w:val="22"/>
        </w:rPr>
      </w:pPr>
      <w:r>
        <w:rPr>
          <w:sz w:val="22"/>
          <w:szCs w:val="22"/>
        </w:rPr>
        <w:t xml:space="preserve">Edward Jay Epstein, “Have You Ever Tried to Sell a Diamond?” </w:t>
      </w:r>
      <w:r>
        <w:rPr>
          <w:i/>
          <w:iCs/>
          <w:sz w:val="22"/>
          <w:szCs w:val="22"/>
        </w:rPr>
        <w:t>Atlantic Monthly</w:t>
      </w:r>
      <w:r>
        <w:rPr>
          <w:sz w:val="22"/>
          <w:szCs w:val="22"/>
        </w:rPr>
        <w:t xml:space="preserve">, http://www.theatlantic.com/doc/198202/diamond </w:t>
      </w:r>
    </w:p>
    <w:p w:rsidR="00D74993" w:rsidRDefault="00D74993" w:rsidP="00D74993">
      <w:r>
        <w:rPr>
          <w:sz w:val="22"/>
          <w:szCs w:val="22"/>
        </w:rPr>
        <w:t xml:space="preserve">Optional: James D. Fearon and David D. Laitin, “Ethnicity, Insurgency, and Civil war,” </w:t>
      </w:r>
      <w:r>
        <w:rPr>
          <w:i/>
          <w:iCs/>
          <w:sz w:val="22"/>
          <w:szCs w:val="22"/>
        </w:rPr>
        <w:t>American Political Science Review</w:t>
      </w:r>
      <w:r>
        <w:rPr>
          <w:sz w:val="22"/>
          <w:szCs w:val="22"/>
        </w:rPr>
        <w:t>, February 2003 (online); David Harvey, Ch. 4; Adam Smith, Book III, Ch. 3, Par 13 to the end.</w:t>
      </w:r>
    </w:p>
    <w:p w:rsidR="00D74993" w:rsidRDefault="00D74993"/>
    <w:p w:rsidR="00D74993" w:rsidRDefault="00D74993"/>
    <w:p w:rsidR="003E781B" w:rsidRDefault="00D74993">
      <w:hyperlink r:id="rId5" w:history="1">
        <w:r w:rsidRPr="00057557">
          <w:rPr>
            <w:rStyle w:val="Hyperlink"/>
          </w:rPr>
          <w:t>http://www.thisamericanlife.org/radio-archives/episode/81/guns?act=1</w:t>
        </w:r>
      </w:hyperlink>
    </w:p>
    <w:p w:rsidR="00D74993" w:rsidRDefault="00D74993"/>
    <w:p w:rsidR="00D74993" w:rsidRDefault="00D74993" w:rsidP="00D74993">
      <w:pPr>
        <w:pStyle w:val="Heading3"/>
        <w:shd w:val="clear" w:color="auto" w:fill="F7F6EE"/>
        <w:rPr>
          <w:rFonts w:ascii="Verdana" w:hAnsi="Verdana"/>
          <w:color w:val="800000"/>
          <w:sz w:val="22"/>
          <w:szCs w:val="22"/>
        </w:rPr>
      </w:pPr>
      <w:r>
        <w:rPr>
          <w:rFonts w:ascii="Verdana" w:hAnsi="Verdana"/>
          <w:color w:val="800000"/>
          <w:sz w:val="22"/>
          <w:szCs w:val="22"/>
        </w:rPr>
        <w:t>Health Care Reform:</w:t>
      </w:r>
    </w:p>
    <w:p w:rsidR="00D74993" w:rsidRDefault="00D74993" w:rsidP="00D74993">
      <w:r>
        <w:rPr>
          <w:rFonts w:ascii="Verdana" w:hAnsi="Verdana"/>
          <w:color w:val="C00000"/>
          <w:sz w:val="18"/>
          <w:szCs w:val="18"/>
          <w:shd w:val="clear" w:color="auto" w:fill="F7F6EE"/>
        </w:rPr>
        <w:t>Required:</w:t>
      </w:r>
      <w:r>
        <w:rPr>
          <w:rStyle w:val="apple-converted-space"/>
          <w:rFonts w:ascii="Verdana" w:hAnsi="Verdana"/>
          <w:color w:val="C00000"/>
          <w:sz w:val="18"/>
          <w:szCs w:val="18"/>
          <w:shd w:val="clear" w:color="auto" w:fill="F7F6EE"/>
        </w:rPr>
        <w:t> </w:t>
      </w:r>
      <w:r>
        <w:rPr>
          <w:rFonts w:ascii="Verdana" w:hAnsi="Verdana"/>
          <w:color w:val="000000"/>
          <w:sz w:val="18"/>
          <w:szCs w:val="18"/>
          <w:shd w:val="clear" w:color="auto" w:fill="F7F6EE"/>
        </w:rPr>
        <w:t xml:space="preserve">Editorial: Health Care Reform, at Last. The New </w:t>
      </w:r>
      <w:proofErr w:type="gramStart"/>
      <w:r>
        <w:rPr>
          <w:rFonts w:ascii="Verdana" w:hAnsi="Verdana"/>
          <w:color w:val="000000"/>
          <w:sz w:val="18"/>
          <w:szCs w:val="18"/>
          <w:shd w:val="clear" w:color="auto" w:fill="F7F6EE"/>
        </w:rPr>
        <w:t>Your</w:t>
      </w:r>
      <w:proofErr w:type="gramEnd"/>
      <w:r>
        <w:rPr>
          <w:rFonts w:ascii="Verdana" w:hAnsi="Verdana"/>
          <w:color w:val="000000"/>
          <w:sz w:val="18"/>
          <w:szCs w:val="18"/>
          <w:shd w:val="clear" w:color="auto" w:fill="F7F6EE"/>
        </w:rPr>
        <w:t xml:space="preserve"> Times, March 22, 2010.</w:t>
      </w:r>
      <w:r>
        <w:rPr>
          <w:rStyle w:val="apple-converted-space"/>
          <w:rFonts w:ascii="Verdana" w:hAnsi="Verdana"/>
          <w:color w:val="000000"/>
          <w:sz w:val="18"/>
          <w:szCs w:val="18"/>
          <w:shd w:val="clear" w:color="auto" w:fill="F7F6EE"/>
        </w:rPr>
        <w:t> </w:t>
      </w:r>
      <w:r>
        <w:rPr>
          <w:rFonts w:ascii="Verdana" w:hAnsi="Verdana"/>
          <w:color w:val="000000"/>
          <w:sz w:val="18"/>
          <w:szCs w:val="18"/>
        </w:rPr>
        <w:br/>
      </w:r>
      <w:r>
        <w:rPr>
          <w:rFonts w:ascii="Verdana" w:hAnsi="Verdana"/>
          <w:color w:val="000000"/>
          <w:sz w:val="18"/>
          <w:szCs w:val="18"/>
        </w:rPr>
        <w:br/>
      </w:r>
      <w:r>
        <w:rPr>
          <w:rFonts w:ascii="Verdana" w:hAnsi="Verdana"/>
          <w:color w:val="C00000"/>
          <w:sz w:val="18"/>
          <w:szCs w:val="18"/>
          <w:shd w:val="clear" w:color="auto" w:fill="F7F6EE"/>
        </w:rPr>
        <w:t>Suggested:</w:t>
      </w:r>
      <w:r>
        <w:rPr>
          <w:rStyle w:val="apple-converted-space"/>
          <w:rFonts w:ascii="Verdana" w:hAnsi="Verdana"/>
          <w:color w:val="C00000"/>
          <w:sz w:val="18"/>
          <w:szCs w:val="18"/>
          <w:shd w:val="clear" w:color="auto" w:fill="F7F6EE"/>
        </w:rPr>
        <w:t> </w:t>
      </w:r>
      <w:r>
        <w:rPr>
          <w:rFonts w:ascii="Verdana" w:hAnsi="Verdana"/>
          <w:color w:val="000000"/>
          <w:sz w:val="18"/>
          <w:szCs w:val="18"/>
          <w:shd w:val="clear" w:color="auto" w:fill="F7F6EE"/>
        </w:rPr>
        <w:t xml:space="preserve">Gawande, A. </w:t>
      </w:r>
      <w:proofErr w:type="gramStart"/>
      <w:r>
        <w:rPr>
          <w:rFonts w:ascii="Verdana" w:hAnsi="Verdana"/>
          <w:color w:val="000000"/>
          <w:sz w:val="18"/>
          <w:szCs w:val="18"/>
          <w:shd w:val="clear" w:color="auto" w:fill="F7F6EE"/>
        </w:rPr>
        <w:t>The</w:t>
      </w:r>
      <w:proofErr w:type="gramEnd"/>
      <w:r>
        <w:rPr>
          <w:rFonts w:ascii="Verdana" w:hAnsi="Verdana"/>
          <w:color w:val="000000"/>
          <w:sz w:val="18"/>
          <w:szCs w:val="18"/>
          <w:shd w:val="clear" w:color="auto" w:fill="F7F6EE"/>
        </w:rPr>
        <w:t xml:space="preserve"> Cost Conundrum: What a Texas town can teach us about health care. The New Yorker, June 1, 2009.</w:t>
      </w:r>
      <w:r>
        <w:rPr>
          <w:rStyle w:val="apple-converted-space"/>
          <w:rFonts w:ascii="Verdana" w:hAnsi="Verdana"/>
          <w:color w:val="000000"/>
          <w:sz w:val="18"/>
          <w:szCs w:val="18"/>
          <w:shd w:val="clear" w:color="auto" w:fill="F7F6EE"/>
        </w:rPr>
        <w:t> </w:t>
      </w:r>
      <w:r>
        <w:rPr>
          <w:rFonts w:ascii="Verdana" w:hAnsi="Verdana"/>
          <w:color w:val="000000"/>
          <w:sz w:val="18"/>
          <w:szCs w:val="18"/>
        </w:rPr>
        <w:br/>
      </w:r>
      <w:r>
        <w:rPr>
          <w:rFonts w:ascii="Verdana" w:hAnsi="Verdana"/>
          <w:color w:val="000000"/>
          <w:sz w:val="18"/>
          <w:szCs w:val="18"/>
        </w:rPr>
        <w:br/>
      </w:r>
      <w:r>
        <w:rPr>
          <w:rFonts w:ascii="Verdana" w:hAnsi="Verdana"/>
          <w:color w:val="C00000"/>
          <w:sz w:val="18"/>
          <w:szCs w:val="18"/>
          <w:shd w:val="clear" w:color="auto" w:fill="F7F6EE"/>
        </w:rPr>
        <w:t>Suggested:</w:t>
      </w:r>
      <w:r>
        <w:rPr>
          <w:rStyle w:val="apple-converted-space"/>
          <w:rFonts w:ascii="Verdana" w:hAnsi="Verdana"/>
          <w:color w:val="C00000"/>
          <w:sz w:val="18"/>
          <w:szCs w:val="18"/>
          <w:shd w:val="clear" w:color="auto" w:fill="F7F6EE"/>
        </w:rPr>
        <w:t> </w:t>
      </w:r>
      <w:r>
        <w:rPr>
          <w:rFonts w:ascii="Verdana" w:hAnsi="Verdana"/>
          <w:color w:val="000000"/>
          <w:sz w:val="18"/>
          <w:szCs w:val="18"/>
          <w:shd w:val="clear" w:color="auto" w:fill="F7F6EE"/>
        </w:rPr>
        <w:t xml:space="preserve">Gawande, A. </w:t>
      </w:r>
      <w:proofErr w:type="gramStart"/>
      <w:r>
        <w:rPr>
          <w:rFonts w:ascii="Verdana" w:hAnsi="Verdana"/>
          <w:color w:val="000000"/>
          <w:sz w:val="18"/>
          <w:szCs w:val="18"/>
          <w:shd w:val="clear" w:color="auto" w:fill="F7F6EE"/>
        </w:rPr>
        <w:t>The</w:t>
      </w:r>
      <w:proofErr w:type="gramEnd"/>
      <w:r>
        <w:rPr>
          <w:rFonts w:ascii="Verdana" w:hAnsi="Verdana"/>
          <w:color w:val="000000"/>
          <w:sz w:val="18"/>
          <w:szCs w:val="18"/>
          <w:shd w:val="clear" w:color="auto" w:fill="F7F6EE"/>
        </w:rPr>
        <w:t xml:space="preserve"> Hot Spotters: Can we lower medical costs by giving the neediest patients better care? The New Yorker, January 24, 2011.</w:t>
      </w:r>
      <w:r>
        <w:rPr>
          <w:rStyle w:val="apple-converted-space"/>
          <w:rFonts w:ascii="Verdana" w:hAnsi="Verdana"/>
          <w:color w:val="000000"/>
          <w:sz w:val="18"/>
          <w:szCs w:val="18"/>
          <w:shd w:val="clear" w:color="auto" w:fill="F7F6EE"/>
        </w:rPr>
        <w:t> </w:t>
      </w:r>
      <w:hyperlink r:id="rId6" w:tgtFrame="blank" w:history="1">
        <w:r>
          <w:rPr>
            <w:rStyle w:val="Hyperlink"/>
            <w:rFonts w:ascii="Verdana" w:hAnsi="Verdana"/>
            <w:color w:val="155F83"/>
            <w:sz w:val="18"/>
            <w:szCs w:val="18"/>
            <w:shd w:val="clear" w:color="auto" w:fill="F7F6EE"/>
          </w:rPr>
          <w:t>http://www.newyorker.com/reporting/2011/01/24/110124fa_fact_gawande</w:t>
        </w:r>
      </w:hyperlink>
    </w:p>
    <w:sectPr w:rsidR="00D74993" w:rsidSect="003E78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altName w:val="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74993"/>
    <w:rsid w:val="003E781B"/>
    <w:rsid w:val="009014B5"/>
    <w:rsid w:val="00D749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993"/>
    <w:pPr>
      <w:spacing w:after="0" w:line="240" w:lineRule="auto"/>
    </w:pPr>
    <w:rPr>
      <w:rFonts w:ascii="Times New Roman" w:eastAsia="Times New Roman" w:hAnsi="Times New Roman" w:cs="Times New Roman"/>
      <w:sz w:val="24"/>
      <w:szCs w:val="24"/>
    </w:rPr>
  </w:style>
  <w:style w:type="paragraph" w:styleId="Heading3">
    <w:name w:val="heading 3"/>
    <w:basedOn w:val="Normal"/>
    <w:link w:val="Heading3Char"/>
    <w:uiPriority w:val="9"/>
    <w:qFormat/>
    <w:rsid w:val="00D74993"/>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74993"/>
    <w:rPr>
      <w:color w:val="0000FF"/>
      <w:u w:val="single"/>
    </w:rPr>
  </w:style>
  <w:style w:type="paragraph" w:customStyle="1" w:styleId="Default">
    <w:name w:val="Default"/>
    <w:rsid w:val="00D74993"/>
    <w:pPr>
      <w:autoSpaceDE w:val="0"/>
      <w:autoSpaceDN w:val="0"/>
      <w:adjustRightInd w:val="0"/>
      <w:spacing w:after="0" w:line="240" w:lineRule="auto"/>
    </w:pPr>
    <w:rPr>
      <w:rFonts w:ascii="Cambria" w:hAnsi="Cambria" w:cs="Cambria"/>
      <w:color w:val="000000"/>
      <w:sz w:val="24"/>
      <w:szCs w:val="24"/>
    </w:rPr>
  </w:style>
  <w:style w:type="character" w:customStyle="1" w:styleId="Heading3Char">
    <w:name w:val="Heading 3 Char"/>
    <w:basedOn w:val="DefaultParagraphFont"/>
    <w:link w:val="Heading3"/>
    <w:uiPriority w:val="9"/>
    <w:rsid w:val="00D74993"/>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D74993"/>
  </w:style>
</w:styles>
</file>

<file path=word/webSettings.xml><?xml version="1.0" encoding="utf-8"?>
<w:webSettings xmlns:r="http://schemas.openxmlformats.org/officeDocument/2006/relationships" xmlns:w="http://schemas.openxmlformats.org/wordprocessingml/2006/main">
  <w:divs>
    <w:div w:id="205408909">
      <w:bodyDiv w:val="1"/>
      <w:marLeft w:val="0"/>
      <w:marRight w:val="0"/>
      <w:marTop w:val="0"/>
      <w:marBottom w:val="0"/>
      <w:divBdr>
        <w:top w:val="none" w:sz="0" w:space="0" w:color="auto"/>
        <w:left w:val="none" w:sz="0" w:space="0" w:color="auto"/>
        <w:bottom w:val="none" w:sz="0" w:space="0" w:color="auto"/>
        <w:right w:val="none" w:sz="0" w:space="0" w:color="auto"/>
      </w:divBdr>
    </w:div>
    <w:div w:id="119230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ewyorker.com/reporting/2011/01/24/110124fa_fact_gawande" TargetMode="External"/><Relationship Id="rId5" Type="http://schemas.openxmlformats.org/officeDocument/2006/relationships/hyperlink" Target="http://www.thisamericanlife.org/radio-archives/episode/81/guns?act=1" TargetMode="External"/><Relationship Id="rId4" Type="http://schemas.openxmlformats.org/officeDocument/2006/relationships/hyperlink" Target="http://ewasserman.com/2007/01/08/the-insidious-corruption-of-bea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728</Words>
  <Characters>3846</Characters>
  <Application>Microsoft Office Word</Application>
  <DocSecurity>0</DocSecurity>
  <Lines>320</Lines>
  <Paragraphs>130</Paragraphs>
  <ScaleCrop>false</ScaleCrop>
  <Company>School District Of Palm Beach County</Company>
  <LinksUpToDate>false</LinksUpToDate>
  <CharactersWithSpaces>4444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cohenli</dc:creator>
  <cp:keywords/>
  <dc:description/>
  <cp:lastModifiedBy>cohenli</cp:lastModifiedBy>
  <cp:revision>1</cp:revision>
  <dcterms:created xsi:type="dcterms:W3CDTF">2012-11-14T18:35:00Z</dcterms:created>
  <dcterms:modified xsi:type="dcterms:W3CDTF">2012-11-14T18:52:00Z</dcterms:modified>
</cp:coreProperties>
</file>